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D879C" w14:textId="77777777" w:rsidR="00B8656A" w:rsidRDefault="00B8656A" w:rsidP="00174061">
      <w:pPr>
        <w:jc w:val="center"/>
        <w:rPr>
          <w:b/>
          <w:color w:val="F7CAAC" w:themeColor="accent2" w:themeTint="66"/>
          <w:sz w:val="40"/>
          <w14:textOutline w14:w="11112" w14:cap="flat" w14:cmpd="sng" w14:algn="ctr">
            <w14:solidFill>
              <w14:srgbClr w14:val="FFC000"/>
            </w14:solidFill>
            <w14:prstDash w14:val="solid"/>
            <w14:round/>
          </w14:textOutline>
        </w:rPr>
      </w:pPr>
    </w:p>
    <w:p w14:paraId="5145CC06" w14:textId="559B9BAF" w:rsidR="0084542A" w:rsidRPr="00835194" w:rsidRDefault="000B7125" w:rsidP="0075023A">
      <w:pPr>
        <w:spacing w:after="120"/>
        <w:jc w:val="center"/>
        <w:rPr>
          <w:b/>
          <w:color w:val="669900"/>
          <w:sz w:val="36"/>
          <w:szCs w:val="36"/>
          <w14:textOutline w14:w="11112" w14:cap="flat" w14:cmpd="sng" w14:algn="ctr">
            <w14:solidFill>
              <w14:srgbClr w14:val="669900"/>
            </w14:solidFill>
            <w14:prstDash w14:val="solid"/>
            <w14:round/>
          </w14:textOutline>
        </w:rPr>
      </w:pPr>
      <w:r w:rsidRPr="00835194">
        <w:rPr>
          <w:b/>
          <w:color w:val="669900"/>
          <w:sz w:val="36"/>
          <w:szCs w:val="36"/>
          <w14:textOutline w14:w="11112" w14:cap="flat" w14:cmpd="sng" w14:algn="ctr">
            <w14:solidFill>
              <w14:srgbClr w14:val="669900"/>
            </w14:solidFill>
            <w14:prstDash w14:val="solid"/>
            <w14:round/>
          </w14:textOutline>
        </w:rPr>
        <w:t>C</w:t>
      </w:r>
      <w:r w:rsidR="00E858C8" w:rsidRPr="00835194">
        <w:rPr>
          <w:b/>
          <w:color w:val="669900"/>
          <w:sz w:val="36"/>
          <w:szCs w:val="36"/>
          <w14:textOutline w14:w="11112" w14:cap="flat" w14:cmpd="sng" w14:algn="ctr">
            <w14:solidFill>
              <w14:srgbClr w14:val="669900"/>
            </w14:solidFill>
            <w14:prstDash w14:val="solid"/>
            <w14:round/>
          </w14:textOutline>
        </w:rPr>
        <w:t xml:space="preserve">ONVOCATORIA BECAS </w:t>
      </w:r>
      <w:r w:rsidRPr="00835194">
        <w:rPr>
          <w:b/>
          <w:color w:val="669900"/>
          <w:sz w:val="36"/>
          <w:szCs w:val="36"/>
          <w14:textOutline w14:w="11112" w14:cap="flat" w14:cmpd="sng" w14:algn="ctr">
            <w14:solidFill>
              <w14:srgbClr w14:val="669900"/>
            </w14:solidFill>
            <w14:prstDash w14:val="solid"/>
            <w14:round/>
          </w14:textOutline>
        </w:rPr>
        <w:t>FEIOMM-UCB</w:t>
      </w:r>
      <w:r w:rsidR="009150B7">
        <w:rPr>
          <w:b/>
          <w:color w:val="669900"/>
          <w:sz w:val="36"/>
          <w:szCs w:val="36"/>
          <w14:textOutline w14:w="11112" w14:cap="flat" w14:cmpd="sng" w14:algn="ctr">
            <w14:solidFill>
              <w14:srgbClr w14:val="669900"/>
            </w14:solidFill>
            <w14:prstDash w14:val="solid"/>
            <w14:round/>
          </w14:textOutline>
        </w:rPr>
        <w:t>-AMGEN</w:t>
      </w:r>
      <w:r w:rsidR="00AD4FC7">
        <w:rPr>
          <w:b/>
          <w:color w:val="669900"/>
          <w:sz w:val="36"/>
          <w:szCs w:val="36"/>
          <w14:textOutline w14:w="11112" w14:cap="flat" w14:cmpd="sng" w14:algn="ctr">
            <w14:solidFill>
              <w14:srgbClr w14:val="669900"/>
            </w14:solidFill>
            <w14:prstDash w14:val="solid"/>
            <w14:round/>
          </w14:textOutline>
        </w:rPr>
        <w:t xml:space="preserve"> A LO</w:t>
      </w:r>
      <w:r w:rsidR="00E858C8" w:rsidRPr="00835194">
        <w:rPr>
          <w:b/>
          <w:color w:val="669900"/>
          <w:sz w:val="36"/>
          <w:szCs w:val="36"/>
          <w14:textOutline w14:w="11112" w14:cap="flat" w14:cmpd="sng" w14:algn="ctr">
            <w14:solidFill>
              <w14:srgbClr w14:val="669900"/>
            </w14:solidFill>
            <w14:prstDash w14:val="solid"/>
            <w14:round/>
          </w14:textOutline>
        </w:rPr>
        <w:t xml:space="preserve">S MEJORES </w:t>
      </w:r>
      <w:r w:rsidR="00AD4FC7">
        <w:rPr>
          <w:b/>
          <w:color w:val="669900"/>
          <w:sz w:val="36"/>
          <w:szCs w:val="36"/>
          <w14:textOutline w14:w="11112" w14:cap="flat" w14:cmpd="sng" w14:algn="ctr">
            <w14:solidFill>
              <w14:srgbClr w14:val="669900"/>
            </w14:solidFill>
            <w14:prstDash w14:val="solid"/>
            <w14:round/>
          </w14:textOutline>
        </w:rPr>
        <w:t>TRABAJOS</w:t>
      </w:r>
      <w:r w:rsidR="00E858C8" w:rsidRPr="00835194">
        <w:rPr>
          <w:b/>
          <w:color w:val="669900"/>
          <w:sz w:val="36"/>
          <w:szCs w:val="36"/>
          <w14:textOutline w14:w="11112" w14:cap="flat" w14:cmpd="sng" w14:algn="ctr">
            <w14:solidFill>
              <w14:srgbClr w14:val="669900"/>
            </w14:solidFill>
            <w14:prstDash w14:val="solid"/>
            <w14:round/>
          </w14:textOutline>
        </w:rPr>
        <w:t xml:space="preserve"> SOBRE FLS</w:t>
      </w:r>
    </w:p>
    <w:p w14:paraId="7DB0D574" w14:textId="77777777" w:rsidR="001723C0" w:rsidRDefault="001723C0"/>
    <w:p w14:paraId="5AF5C334" w14:textId="39A773B1" w:rsidR="00064236" w:rsidRPr="00835194" w:rsidRDefault="00064236" w:rsidP="0075023A">
      <w:pPr>
        <w:spacing w:after="120"/>
        <w:jc w:val="both"/>
        <w:rPr>
          <w:b/>
          <w:color w:val="538135" w:themeColor="accent6" w:themeShade="BF"/>
          <w:sz w:val="28"/>
          <w:szCs w:val="24"/>
          <w14:textOutline w14:w="11112" w14:cap="flat" w14:cmpd="sng" w14:algn="ctr">
            <w14:solidFill>
              <w14:srgbClr w14:val="669900"/>
            </w14:solidFill>
            <w14:prstDash w14:val="solid"/>
            <w14:round/>
          </w14:textOutline>
        </w:rPr>
      </w:pPr>
      <w:r w:rsidRPr="00835194">
        <w:rPr>
          <w:b/>
          <w:color w:val="538135" w:themeColor="accent6" w:themeShade="BF"/>
          <w:sz w:val="28"/>
          <w:szCs w:val="24"/>
          <w14:textOutline w14:w="11112" w14:cap="flat" w14:cmpd="sng" w14:algn="ctr">
            <w14:solidFill>
              <w14:srgbClr w14:val="669900"/>
            </w14:solidFill>
            <w14:prstDash w14:val="solid"/>
            <w14:round/>
          </w14:textOutline>
        </w:rPr>
        <w:t>JUSTIFICACIÓN</w:t>
      </w:r>
    </w:p>
    <w:p w14:paraId="4CB260B3" w14:textId="034EE797" w:rsidR="000B7125" w:rsidRPr="00E858C8" w:rsidRDefault="000B7125" w:rsidP="000B7125">
      <w:pPr>
        <w:jc w:val="both"/>
      </w:pPr>
      <w:r w:rsidRPr="000B7125">
        <w:t xml:space="preserve">El objetivo de las unidades de coordinación de fractura o Fracture Liaison </w:t>
      </w:r>
      <w:proofErr w:type="spellStart"/>
      <w:r w:rsidRPr="000B7125">
        <w:t>Services</w:t>
      </w:r>
      <w:proofErr w:type="spellEnd"/>
      <w:r w:rsidRPr="000B7125">
        <w:t xml:space="preserve"> (FLS) es asegurar la evaluación y el tratamiento apropiados de todos los pacientes que han tenido una fractura </w:t>
      </w:r>
      <w:proofErr w:type="spellStart"/>
      <w:r w:rsidRPr="000B7125">
        <w:t>osteoporótica</w:t>
      </w:r>
      <w:proofErr w:type="spellEnd"/>
      <w:r w:rsidRPr="000B7125">
        <w:t xml:space="preserve"> antes de que vuelvan a padecer una nueva fractura. Estas unidades o FLS representan la oportunidad de disminuir el porcentaje de pacientes que no reciben atención destinada a prevenir una nueva fractura, demostrando su coste-efectividad en la disminución de nuevas fracturas para los sistemas de salud.</w:t>
      </w:r>
      <w:r>
        <w:t xml:space="preserve"> </w:t>
      </w:r>
      <w:r w:rsidR="000957EF">
        <w:t>Por ello, la Junta Directiva</w:t>
      </w:r>
      <w:r w:rsidR="00206725">
        <w:t>,</w:t>
      </w:r>
      <w:r w:rsidR="000957EF">
        <w:t xml:space="preserve"> </w:t>
      </w:r>
      <w:r w:rsidR="00277568" w:rsidRPr="00277568">
        <w:t xml:space="preserve">gracias a la colaboración de </w:t>
      </w:r>
      <w:r w:rsidR="00277568">
        <w:t>UCB</w:t>
      </w:r>
      <w:r w:rsidR="00206725">
        <w:t>,</w:t>
      </w:r>
      <w:r w:rsidR="000957EF">
        <w:t xml:space="preserve"> ha decidido crea</w:t>
      </w:r>
      <w:r w:rsidR="000957EF" w:rsidRPr="00E858C8">
        <w:t xml:space="preserve">r </w:t>
      </w:r>
      <w:r w:rsidR="00E858C8">
        <w:t xml:space="preserve">LAS BECAS </w:t>
      </w:r>
      <w:r w:rsidR="009150B7">
        <w:t xml:space="preserve">FEIOMM-UCB-AMGEN </w:t>
      </w:r>
      <w:r w:rsidR="00AD4FC7">
        <w:t>a lo</w:t>
      </w:r>
      <w:r w:rsidR="00E858C8" w:rsidRPr="00E858C8">
        <w:t xml:space="preserve">s tres mejores </w:t>
      </w:r>
      <w:r w:rsidR="00AD4FC7">
        <w:t>trabajos</w:t>
      </w:r>
      <w:r w:rsidR="00E858C8" w:rsidRPr="00E858C8">
        <w:t xml:space="preserve"> sobre FLS producidas durante el año </w:t>
      </w:r>
      <w:r w:rsidRPr="00E858C8">
        <w:t>con el objetivo de:</w:t>
      </w:r>
    </w:p>
    <w:p w14:paraId="7B65A001" w14:textId="582C387C" w:rsidR="000B7125" w:rsidRPr="00E858C8" w:rsidRDefault="000B7125" w:rsidP="000B7125">
      <w:pPr>
        <w:pStyle w:val="Prrafodelista"/>
        <w:numPr>
          <w:ilvl w:val="0"/>
          <w:numId w:val="5"/>
        </w:numPr>
        <w:jc w:val="both"/>
      </w:pPr>
      <w:r w:rsidRPr="00E858C8">
        <w:t>Fomentar la cultura de la publicación</w:t>
      </w:r>
      <w:r w:rsidR="00577620">
        <w:t>.</w:t>
      </w:r>
    </w:p>
    <w:p w14:paraId="382B14F6" w14:textId="7E09C735" w:rsidR="000B7125" w:rsidRPr="00E858C8" w:rsidRDefault="000B7125" w:rsidP="000B7125">
      <w:pPr>
        <w:pStyle w:val="Prrafodelista"/>
        <w:numPr>
          <w:ilvl w:val="0"/>
          <w:numId w:val="5"/>
        </w:numPr>
        <w:jc w:val="both"/>
      </w:pPr>
      <w:r w:rsidRPr="00E858C8">
        <w:t>Cerrar el círculo de las FLS publicando los datos de las FLS creadas</w:t>
      </w:r>
      <w:r w:rsidR="00577620">
        <w:t>.</w:t>
      </w:r>
    </w:p>
    <w:p w14:paraId="1E214D0C" w14:textId="77777777" w:rsidR="000B7125" w:rsidRPr="00E858C8" w:rsidRDefault="000B7125" w:rsidP="000B7125">
      <w:pPr>
        <w:pStyle w:val="Prrafodelista"/>
        <w:numPr>
          <w:ilvl w:val="0"/>
          <w:numId w:val="5"/>
        </w:numPr>
        <w:jc w:val="both"/>
      </w:pPr>
      <w:r w:rsidRPr="00E858C8">
        <w:t>Contribuir de ese modo a un mejor conocimiento.</w:t>
      </w:r>
    </w:p>
    <w:p w14:paraId="3FFF48D0" w14:textId="738DBD4C" w:rsidR="00FA786F" w:rsidRPr="00E858C8" w:rsidRDefault="00277568" w:rsidP="0075023A">
      <w:pPr>
        <w:spacing w:after="120"/>
        <w:jc w:val="both"/>
      </w:pPr>
      <w:r w:rsidRPr="00E858C8">
        <w:t xml:space="preserve">La cuantía total destinada a las becas será de 10.000 euros </w:t>
      </w:r>
      <w:r w:rsidR="00E858C8" w:rsidRPr="00E858C8">
        <w:t>establecié</w:t>
      </w:r>
      <w:r w:rsidR="00577620">
        <w:t xml:space="preserve">ndose 3 categorías de premios: </w:t>
      </w:r>
      <w:r w:rsidR="00577620" w:rsidRPr="00577620">
        <w:rPr>
          <w:b/>
        </w:rPr>
        <w:t>p</w:t>
      </w:r>
      <w:r w:rsidR="00E858C8" w:rsidRPr="00577620">
        <w:rPr>
          <w:b/>
        </w:rPr>
        <w:t>rimer premio dotado con</w:t>
      </w:r>
      <w:r w:rsidRPr="00577620">
        <w:rPr>
          <w:b/>
        </w:rPr>
        <w:t xml:space="preserve"> 5.000 euros, </w:t>
      </w:r>
      <w:r w:rsidR="00577620" w:rsidRPr="00577620">
        <w:rPr>
          <w:b/>
        </w:rPr>
        <w:t>s</w:t>
      </w:r>
      <w:r w:rsidR="00E858C8" w:rsidRPr="00577620">
        <w:rPr>
          <w:b/>
        </w:rPr>
        <w:t>egundo premio dotado con</w:t>
      </w:r>
      <w:r w:rsidRPr="00577620">
        <w:rPr>
          <w:b/>
        </w:rPr>
        <w:t xml:space="preserve"> 3.000 euros y </w:t>
      </w:r>
      <w:r w:rsidR="00577620" w:rsidRPr="00577620">
        <w:rPr>
          <w:b/>
        </w:rPr>
        <w:t>t</w:t>
      </w:r>
      <w:r w:rsidR="00E858C8" w:rsidRPr="00577620">
        <w:rPr>
          <w:b/>
        </w:rPr>
        <w:t>ercer premio dotado con</w:t>
      </w:r>
      <w:r w:rsidRPr="00577620">
        <w:rPr>
          <w:b/>
        </w:rPr>
        <w:t xml:space="preserve"> 2.000 euros</w:t>
      </w:r>
      <w:r w:rsidR="00E858C8" w:rsidRPr="00E858C8">
        <w:t>.</w:t>
      </w:r>
      <w:r w:rsidR="00FA786F" w:rsidRPr="00E858C8">
        <w:t xml:space="preserve"> </w:t>
      </w:r>
    </w:p>
    <w:p w14:paraId="20E74BC9" w14:textId="77777777" w:rsidR="001723C0" w:rsidRPr="00174061" w:rsidRDefault="001723C0" w:rsidP="00356E45">
      <w:pPr>
        <w:jc w:val="both"/>
        <w:rPr>
          <w:sz w:val="24"/>
          <w:szCs w:val="24"/>
        </w:rPr>
      </w:pPr>
    </w:p>
    <w:p w14:paraId="645321E7" w14:textId="77777777" w:rsidR="001723C0" w:rsidRPr="00835194" w:rsidRDefault="001723C0" w:rsidP="0075023A">
      <w:pPr>
        <w:spacing w:after="120"/>
        <w:jc w:val="both"/>
        <w:rPr>
          <w:b/>
          <w:color w:val="538135" w:themeColor="accent6" w:themeShade="BF"/>
          <w:sz w:val="28"/>
          <w:szCs w:val="24"/>
          <w14:textOutline w14:w="9525" w14:cap="flat" w14:cmpd="sng" w14:algn="ctr">
            <w14:solidFill>
              <w14:srgbClr w14:val="6699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35194">
        <w:rPr>
          <w:b/>
          <w:color w:val="538135" w:themeColor="accent6" w:themeShade="BF"/>
          <w:sz w:val="28"/>
          <w:szCs w:val="24"/>
          <w14:textOutline w14:w="9525" w14:cap="flat" w14:cmpd="sng" w14:algn="ctr">
            <w14:solidFill>
              <w14:srgbClr w14:val="6699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REQUISITOS</w:t>
      </w:r>
    </w:p>
    <w:p w14:paraId="64488A7C" w14:textId="7FE2691B" w:rsidR="001723C0" w:rsidRPr="00F0789A" w:rsidRDefault="001723C0" w:rsidP="00174061">
      <w:pPr>
        <w:pStyle w:val="Prrafodelista"/>
        <w:numPr>
          <w:ilvl w:val="0"/>
          <w:numId w:val="2"/>
        </w:numPr>
        <w:ind w:left="284" w:firstLine="0"/>
        <w:jc w:val="both"/>
        <w:rPr>
          <w:color w:val="000000" w:themeColor="text1"/>
        </w:rPr>
      </w:pPr>
      <w:r w:rsidRPr="00692889">
        <w:rPr>
          <w:b/>
        </w:rPr>
        <w:t xml:space="preserve">Ser miembro </w:t>
      </w:r>
      <w:r w:rsidR="00FA786F" w:rsidRPr="00692889">
        <w:rPr>
          <w:b/>
        </w:rPr>
        <w:t>de la SEIOMM</w:t>
      </w:r>
      <w:r w:rsidR="00FA786F">
        <w:t xml:space="preserve"> con anterioridad al 1 de Enero de 2019, y estar al corriente de pago de sus cuotas</w:t>
      </w:r>
      <w:r w:rsidRPr="00F0789A">
        <w:rPr>
          <w:color w:val="000000" w:themeColor="text1"/>
        </w:rPr>
        <w:t>.</w:t>
      </w:r>
    </w:p>
    <w:p w14:paraId="781FEC97" w14:textId="77777777" w:rsidR="0075023A" w:rsidRPr="0075023A" w:rsidRDefault="0075023A" w:rsidP="00AD4FC7">
      <w:pPr>
        <w:pStyle w:val="Prrafodelista"/>
        <w:numPr>
          <w:ilvl w:val="0"/>
          <w:numId w:val="2"/>
        </w:numPr>
        <w:ind w:left="284" w:firstLine="0"/>
        <w:jc w:val="both"/>
      </w:pPr>
      <w:r>
        <w:rPr>
          <w:b/>
          <w:color w:val="000000" w:themeColor="text1"/>
        </w:rPr>
        <w:t>Para el segundo requisito es necesario cumplir una de las siguientes condiciones:</w:t>
      </w:r>
    </w:p>
    <w:p w14:paraId="184700A5" w14:textId="6FDCF352" w:rsidR="006C64B3" w:rsidRPr="0075023A" w:rsidRDefault="00AD4FC7" w:rsidP="0075023A">
      <w:pPr>
        <w:pStyle w:val="Prrafodelista"/>
        <w:numPr>
          <w:ilvl w:val="0"/>
          <w:numId w:val="8"/>
        </w:numPr>
        <w:ind w:left="1134"/>
        <w:jc w:val="both"/>
      </w:pPr>
      <w:r w:rsidRPr="00AD4FC7">
        <w:rPr>
          <w:b/>
          <w:color w:val="000000" w:themeColor="text1"/>
        </w:rPr>
        <w:t>Haber publicado en los 365 días previos a la finalización del plazo de solicitud al menos un artículo</w:t>
      </w:r>
      <w:r w:rsidRPr="00AD4FC7">
        <w:rPr>
          <w:color w:val="000000" w:themeColor="text1"/>
        </w:rPr>
        <w:t xml:space="preserve"> </w:t>
      </w:r>
      <w:r w:rsidRPr="00A37DAC">
        <w:rPr>
          <w:b/>
          <w:color w:val="000000" w:themeColor="text1"/>
        </w:rPr>
        <w:t>en una revista indexada</w:t>
      </w:r>
      <w:r w:rsidRPr="00AD4FC7">
        <w:rPr>
          <w:b/>
          <w:color w:val="000000" w:themeColor="text1"/>
        </w:rPr>
        <w:t xml:space="preserve"> </w:t>
      </w:r>
      <w:r w:rsidR="00E858C8" w:rsidRPr="00A37DAC">
        <w:rPr>
          <w:b/>
          <w:color w:val="000000" w:themeColor="text1"/>
        </w:rPr>
        <w:t>sobre la experiencia existente en las FLS</w:t>
      </w:r>
      <w:r w:rsidR="00E858C8" w:rsidRPr="00AD4FC7">
        <w:rPr>
          <w:color w:val="000000" w:themeColor="text1"/>
        </w:rPr>
        <w:t>.</w:t>
      </w:r>
      <w:r w:rsidR="000957EF" w:rsidRPr="00AD4FC7">
        <w:rPr>
          <w:color w:val="000000" w:themeColor="text1"/>
        </w:rPr>
        <w:t xml:space="preserve"> No serán válidos los artículos “enviados o sometidos a val</w:t>
      </w:r>
      <w:r w:rsidR="00A23DB9" w:rsidRPr="00AD4FC7">
        <w:rPr>
          <w:color w:val="000000" w:themeColor="text1"/>
        </w:rPr>
        <w:t>o</w:t>
      </w:r>
      <w:r w:rsidR="000957EF" w:rsidRPr="00AD4FC7">
        <w:rPr>
          <w:color w:val="000000" w:themeColor="text1"/>
        </w:rPr>
        <w:t>ración”,</w:t>
      </w:r>
      <w:r w:rsidR="00A23DB9" w:rsidRPr="00AD4FC7">
        <w:rPr>
          <w:color w:val="000000" w:themeColor="text1"/>
        </w:rPr>
        <w:t xml:space="preserve"> </w:t>
      </w:r>
      <w:r w:rsidRPr="00AD4FC7">
        <w:rPr>
          <w:color w:val="000000" w:themeColor="text1"/>
        </w:rPr>
        <w:t>aunque s</w:t>
      </w:r>
      <w:r>
        <w:rPr>
          <w:color w:val="000000" w:themeColor="text1"/>
        </w:rPr>
        <w:t>i</w:t>
      </w:r>
      <w:r w:rsidR="000957EF" w:rsidRPr="00AD4FC7">
        <w:rPr>
          <w:color w:val="000000" w:themeColor="text1"/>
        </w:rPr>
        <w:t xml:space="preserve"> serán vá</w:t>
      </w:r>
      <w:r w:rsidR="00A23DB9" w:rsidRPr="00AD4FC7">
        <w:rPr>
          <w:color w:val="000000" w:themeColor="text1"/>
        </w:rPr>
        <w:t>l</w:t>
      </w:r>
      <w:r w:rsidR="000957EF" w:rsidRPr="00AD4FC7">
        <w:rPr>
          <w:color w:val="000000" w:themeColor="text1"/>
        </w:rPr>
        <w:t>idos “artículos aceptados pendientes de publicación”</w:t>
      </w:r>
      <w:r w:rsidR="005A1870" w:rsidRPr="00AD4FC7">
        <w:rPr>
          <w:color w:val="000000" w:themeColor="text1"/>
        </w:rPr>
        <w:t>.</w:t>
      </w:r>
      <w:r w:rsidRPr="00AD4FC7">
        <w:rPr>
          <w:color w:val="000000" w:themeColor="text1"/>
        </w:rPr>
        <w:t xml:space="preserve"> </w:t>
      </w:r>
    </w:p>
    <w:p w14:paraId="786F6974" w14:textId="4CBF22EB" w:rsidR="0075023A" w:rsidRPr="00AD4FC7" w:rsidRDefault="0075023A" w:rsidP="0075023A">
      <w:pPr>
        <w:pStyle w:val="Prrafodelista"/>
        <w:numPr>
          <w:ilvl w:val="0"/>
          <w:numId w:val="8"/>
        </w:numPr>
        <w:spacing w:after="120"/>
        <w:ind w:left="1134" w:hanging="357"/>
        <w:jc w:val="both"/>
      </w:pPr>
      <w:r w:rsidRPr="00AD4FC7">
        <w:rPr>
          <w:b/>
          <w:color w:val="000000" w:themeColor="text1"/>
        </w:rPr>
        <w:t xml:space="preserve">Haber </w:t>
      </w:r>
      <w:r>
        <w:rPr>
          <w:b/>
          <w:color w:val="000000" w:themeColor="text1"/>
        </w:rPr>
        <w:t>presentado o ser aceptada</w:t>
      </w:r>
      <w:r w:rsidRPr="00AD4FC7">
        <w:rPr>
          <w:b/>
          <w:color w:val="000000" w:themeColor="text1"/>
        </w:rPr>
        <w:t xml:space="preserve"> para su presentación una comunicación </w:t>
      </w:r>
      <w:r>
        <w:rPr>
          <w:b/>
          <w:color w:val="000000" w:themeColor="text1"/>
        </w:rPr>
        <w:t>en</w:t>
      </w:r>
      <w:r w:rsidRPr="00AD4FC7">
        <w:rPr>
          <w:b/>
          <w:color w:val="000000" w:themeColor="text1"/>
        </w:rPr>
        <w:t xml:space="preserve"> un congreso nacional o internacional</w:t>
      </w:r>
      <w:r w:rsidRPr="00A37DAC">
        <w:rPr>
          <w:b/>
          <w:color w:val="000000" w:themeColor="text1"/>
        </w:rPr>
        <w:t xml:space="preserve"> sobre la experiencia existente en las FLS</w:t>
      </w:r>
      <w:r w:rsidRPr="00AD4FC7">
        <w:rPr>
          <w:color w:val="000000" w:themeColor="text1"/>
        </w:rPr>
        <w:t>.</w:t>
      </w:r>
      <w:r>
        <w:rPr>
          <w:color w:val="000000" w:themeColor="text1"/>
        </w:rPr>
        <w:t xml:space="preserve"> No</w:t>
      </w:r>
      <w:r w:rsidRPr="00AD4FC7">
        <w:rPr>
          <w:color w:val="000000" w:themeColor="text1"/>
        </w:rPr>
        <w:t xml:space="preserve"> serán válidas aquellas comunicaciones enviadas a congresos que no hayan sido aceptadas.</w:t>
      </w:r>
    </w:p>
    <w:p w14:paraId="76F06B17" w14:textId="77777777" w:rsidR="001723C0" w:rsidRPr="00174061" w:rsidRDefault="001723C0" w:rsidP="00356E45">
      <w:pPr>
        <w:pStyle w:val="Prrafodelista"/>
        <w:jc w:val="both"/>
        <w:rPr>
          <w:sz w:val="24"/>
          <w:szCs w:val="24"/>
        </w:rPr>
      </w:pPr>
    </w:p>
    <w:p w14:paraId="1FA6D170" w14:textId="29BEF315" w:rsidR="00356E45" w:rsidRPr="00835194" w:rsidRDefault="00C16ABB" w:rsidP="0075023A">
      <w:pPr>
        <w:spacing w:after="120"/>
        <w:jc w:val="both"/>
        <w:rPr>
          <w:b/>
          <w:color w:val="538135" w:themeColor="accent6" w:themeShade="BF"/>
          <w:sz w:val="28"/>
          <w:szCs w:val="24"/>
          <w14:textOutline w14:w="9525" w14:cap="flat" w14:cmpd="sng" w14:algn="ctr">
            <w14:solidFill>
              <w14:srgbClr w14:val="6699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35194">
        <w:rPr>
          <w:b/>
          <w:color w:val="538135" w:themeColor="accent6" w:themeShade="BF"/>
          <w:sz w:val="28"/>
          <w:szCs w:val="24"/>
          <w14:textOutline w14:w="9525" w14:cap="flat" w14:cmpd="sng" w14:algn="ctr">
            <w14:solidFill>
              <w14:srgbClr w14:val="6699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PLAZO</w:t>
      </w:r>
      <w:r w:rsidR="00A23DB9" w:rsidRPr="00835194">
        <w:rPr>
          <w:b/>
          <w:color w:val="538135" w:themeColor="accent6" w:themeShade="BF"/>
          <w:sz w:val="28"/>
          <w:szCs w:val="24"/>
          <w14:textOutline w14:w="9525" w14:cap="flat" w14:cmpd="sng" w14:algn="ctr">
            <w14:solidFill>
              <w14:srgbClr w14:val="6699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 Y FORMAS</w:t>
      </w:r>
      <w:r w:rsidRPr="00835194">
        <w:rPr>
          <w:b/>
          <w:color w:val="538135" w:themeColor="accent6" w:themeShade="BF"/>
          <w:sz w:val="28"/>
          <w:szCs w:val="24"/>
          <w14:textOutline w14:w="9525" w14:cap="flat" w14:cmpd="sng" w14:algn="ctr">
            <w14:solidFill>
              <w14:srgbClr w14:val="6699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356E45" w:rsidRPr="00835194">
        <w:rPr>
          <w:b/>
          <w:color w:val="538135" w:themeColor="accent6" w:themeShade="BF"/>
          <w:sz w:val="28"/>
          <w:szCs w:val="24"/>
          <w14:textOutline w14:w="9525" w14:cap="flat" w14:cmpd="sng" w14:algn="ctr">
            <w14:solidFill>
              <w14:srgbClr w14:val="6699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DE PRESENTACIÓN</w:t>
      </w:r>
    </w:p>
    <w:p w14:paraId="346C7A09" w14:textId="05172C87" w:rsidR="00E858C8" w:rsidRDefault="00356E45" w:rsidP="0075023A">
      <w:pPr>
        <w:spacing w:after="120"/>
        <w:jc w:val="both"/>
      </w:pPr>
      <w:r w:rsidRPr="00B8656A">
        <w:t xml:space="preserve">Las solicitudes se remitirán a la </w:t>
      </w:r>
      <w:r w:rsidR="00C16ABB">
        <w:t>S</w:t>
      </w:r>
      <w:r w:rsidRPr="00B8656A">
        <w:t xml:space="preserve">ecretaría de la FEIOMM, </w:t>
      </w:r>
      <w:r w:rsidRPr="00C16ABB">
        <w:t xml:space="preserve">por correo electrónico </w:t>
      </w:r>
      <w:r w:rsidRPr="00B8656A">
        <w:t>(</w:t>
      </w:r>
      <w:hyperlink r:id="rId7" w:history="1">
        <w:r w:rsidRPr="00B8656A">
          <w:rPr>
            <w:rStyle w:val="Hipervnculo"/>
          </w:rPr>
          <w:t>seiomm@seiomm.org</w:t>
        </w:r>
      </w:hyperlink>
      <w:r w:rsidRPr="00B8656A">
        <w:t xml:space="preserve">) </w:t>
      </w:r>
      <w:r w:rsidR="00C16ABB">
        <w:t xml:space="preserve">indicando en el apartado “asunto”: </w:t>
      </w:r>
      <w:r w:rsidR="00AD4FC7">
        <w:t>BECAS FEIOMM-UCB</w:t>
      </w:r>
      <w:r w:rsidR="009150B7">
        <w:t>-AMGEN</w:t>
      </w:r>
      <w:r w:rsidR="00AD4FC7">
        <w:t xml:space="preserve"> A LO</w:t>
      </w:r>
      <w:r w:rsidR="00E858C8">
        <w:t xml:space="preserve">S MEJORES </w:t>
      </w:r>
      <w:r w:rsidR="00AD4FC7">
        <w:t>TRABAJOS</w:t>
      </w:r>
      <w:r w:rsidR="00E858C8">
        <w:t xml:space="preserve"> SOBRE FLS.</w:t>
      </w:r>
      <w:r w:rsidR="00A23DB9">
        <w:t xml:space="preserve">  </w:t>
      </w:r>
    </w:p>
    <w:p w14:paraId="4DB7ADCF" w14:textId="40927021" w:rsidR="00C16ABB" w:rsidRDefault="00C16ABB" w:rsidP="0075023A">
      <w:pPr>
        <w:spacing w:after="120"/>
        <w:jc w:val="both"/>
      </w:pPr>
      <w:r>
        <w:t>El plazo de solicitud finaliza el 30 de Septiembre de 2020 a las 24 horas.</w:t>
      </w:r>
    </w:p>
    <w:p w14:paraId="5DBD66FD" w14:textId="194206A3" w:rsidR="00356E45" w:rsidRPr="00B8656A" w:rsidRDefault="00C16ABB" w:rsidP="00356E45">
      <w:pPr>
        <w:jc w:val="both"/>
      </w:pPr>
      <w:r>
        <w:t>L</w:t>
      </w:r>
      <w:r w:rsidR="00356E45" w:rsidRPr="00B8656A">
        <w:t>a secretaría dará acuse de recibo de la solicitud antes de una semana.</w:t>
      </w:r>
    </w:p>
    <w:p w14:paraId="05B833A5" w14:textId="77777777" w:rsidR="000C368F" w:rsidRPr="00B8656A" w:rsidRDefault="000C368F" w:rsidP="00174061">
      <w:pPr>
        <w:jc w:val="right"/>
      </w:pPr>
    </w:p>
    <w:p w14:paraId="7147980D" w14:textId="7D77BF46" w:rsidR="000A48DA" w:rsidRPr="00835194" w:rsidRDefault="000A48DA" w:rsidP="000A48DA">
      <w:pPr>
        <w:pStyle w:val="Prrafodelista"/>
        <w:ind w:hanging="720"/>
        <w:jc w:val="both"/>
        <w:rPr>
          <w:b/>
          <w:color w:val="538135" w:themeColor="accent6" w:themeShade="BF"/>
          <w:sz w:val="28"/>
          <w:szCs w:val="24"/>
          <w14:textOutline w14:w="9525" w14:cap="flat" w14:cmpd="sng" w14:algn="ctr">
            <w14:solidFill>
              <w14:srgbClr w14:val="6699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35194">
        <w:rPr>
          <w:b/>
          <w:color w:val="538135" w:themeColor="accent6" w:themeShade="BF"/>
          <w:sz w:val="28"/>
          <w:szCs w:val="24"/>
          <w14:textOutline w14:w="9525" w14:cap="flat" w14:cmpd="sng" w14:algn="ctr">
            <w14:solidFill>
              <w14:srgbClr w14:val="6699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CRITERIOS A VALORAR</w:t>
      </w:r>
    </w:p>
    <w:p w14:paraId="0FF38D64" w14:textId="07900877" w:rsidR="00206725" w:rsidRDefault="00206725" w:rsidP="00206725">
      <w:pPr>
        <w:jc w:val="both"/>
      </w:pPr>
      <w:r>
        <w:t>Se valorarán aquell</w:t>
      </w:r>
      <w:r w:rsidR="00AD4FC7">
        <w:t>os trabajos</w:t>
      </w:r>
      <w:r>
        <w:t xml:space="preserve"> relacionad</w:t>
      </w:r>
      <w:r w:rsidR="00AD4FC7">
        <w:t>o</w:t>
      </w:r>
      <w:r>
        <w:t>s con las FLS utilizando los siguientes criterios:</w:t>
      </w:r>
    </w:p>
    <w:p w14:paraId="049BDCDA" w14:textId="480B7B19" w:rsidR="00E11D87" w:rsidRDefault="00E11D87" w:rsidP="00206725">
      <w:pPr>
        <w:pStyle w:val="Prrafodelista"/>
        <w:numPr>
          <w:ilvl w:val="0"/>
          <w:numId w:val="7"/>
        </w:numPr>
        <w:jc w:val="both"/>
      </w:pPr>
      <w:r>
        <w:t>Primará para la concesión de las ayudas que los resultados provengan de la experiencia de la FLS que publica el trabajo</w:t>
      </w:r>
      <w:r w:rsidR="00A37DAC">
        <w:t xml:space="preserve"> y que el trabajo se haya publicado en una revista indexada. </w:t>
      </w:r>
    </w:p>
    <w:p w14:paraId="056A8D77" w14:textId="705B6CBF" w:rsidR="00206725" w:rsidRDefault="00722D8D" w:rsidP="00206725">
      <w:pPr>
        <w:pStyle w:val="Prrafodelista"/>
        <w:numPr>
          <w:ilvl w:val="0"/>
          <w:numId w:val="7"/>
        </w:numPr>
        <w:jc w:val="both"/>
      </w:pPr>
      <w:r>
        <w:t>Las puntuaciones se realizarán de acuerdo a</w:t>
      </w:r>
      <w:r w:rsidR="00A37DAC">
        <w:t>l</w:t>
      </w:r>
      <w:r w:rsidR="00E11D87">
        <w:t xml:space="preserve"> siguiente barem</w:t>
      </w:r>
      <w:r w:rsidR="00206725">
        <w:t>o</w:t>
      </w:r>
      <w:r w:rsidR="0075023A">
        <w:t xml:space="preserve"> (máximo 1</w:t>
      </w:r>
      <w:r w:rsidR="00A37DAC">
        <w:t>0 puntos)</w:t>
      </w:r>
      <w:r w:rsidR="00206725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5"/>
        <w:gridCol w:w="1269"/>
      </w:tblGrid>
      <w:tr w:rsidR="00206725" w14:paraId="7C74E1CA" w14:textId="77777777" w:rsidTr="005D1C0B">
        <w:tc>
          <w:tcPr>
            <w:tcW w:w="7225" w:type="dxa"/>
            <w:shd w:val="clear" w:color="auto" w:fill="BFBFBF" w:themeFill="background1" w:themeFillShade="BF"/>
          </w:tcPr>
          <w:p w14:paraId="345FC3EE" w14:textId="3E636DA3" w:rsidR="00206725" w:rsidRPr="00A23DB9" w:rsidRDefault="00E11D87" w:rsidP="005D1C0B">
            <w:pPr>
              <w:jc w:val="both"/>
            </w:pPr>
            <w:r>
              <w:t>Trabajo presentado como publicación o presentación en congreso</w:t>
            </w:r>
          </w:p>
        </w:tc>
        <w:tc>
          <w:tcPr>
            <w:tcW w:w="1269" w:type="dxa"/>
            <w:shd w:val="clear" w:color="auto" w:fill="BFBFBF" w:themeFill="background1" w:themeFillShade="BF"/>
          </w:tcPr>
          <w:p w14:paraId="58EC4DE3" w14:textId="77777777" w:rsidR="00206725" w:rsidRPr="00A23DB9" w:rsidRDefault="00206725" w:rsidP="005D1C0B">
            <w:pPr>
              <w:jc w:val="both"/>
              <w:rPr>
                <w14:textOutline w14:w="9525" w14:cap="rnd" w14:cmpd="sng" w14:algn="ctr">
                  <w14:solidFill>
                    <w14:schemeClr w14:val="bg1">
                      <w14:lumMod w14:val="65000"/>
                    </w14:schemeClr>
                  </w14:solidFill>
                  <w14:prstDash w14:val="solid"/>
                  <w14:bevel/>
                </w14:textOutline>
              </w:rPr>
            </w:pPr>
            <w:r w:rsidRPr="00A23DB9">
              <w:t>Puntos</w:t>
            </w:r>
          </w:p>
        </w:tc>
      </w:tr>
      <w:tr w:rsidR="00206725" w14:paraId="224F1319" w14:textId="77777777" w:rsidTr="005D1C0B">
        <w:tc>
          <w:tcPr>
            <w:tcW w:w="7225" w:type="dxa"/>
            <w:shd w:val="clear" w:color="auto" w:fill="F2F2F2" w:themeFill="background1" w:themeFillShade="F2"/>
          </w:tcPr>
          <w:p w14:paraId="1B9B12D2" w14:textId="22FFBE67" w:rsidR="00206725" w:rsidRPr="00E11D87" w:rsidRDefault="00E11D87" w:rsidP="005D1C0B">
            <w:pPr>
              <w:jc w:val="both"/>
            </w:pPr>
            <w:r w:rsidRPr="00E11D87">
              <w:t xml:space="preserve">Revista en </w:t>
            </w:r>
            <w:r>
              <w:t>p</w:t>
            </w:r>
            <w:r w:rsidR="00206725" w:rsidRPr="00E11D87">
              <w:t>rimer cuartil</w:t>
            </w:r>
            <w:r w:rsidRPr="00E11D87">
              <w:t xml:space="preserve"> </w:t>
            </w:r>
            <w:r>
              <w:t>incluida</w:t>
            </w:r>
            <w:r w:rsidRPr="00E11D87">
              <w:t xml:space="preserve"> en el </w:t>
            </w:r>
            <w:proofErr w:type="spellStart"/>
            <w:r w:rsidRPr="00E11D87">
              <w:t>Journal</w:t>
            </w:r>
            <w:proofErr w:type="spellEnd"/>
            <w:r w:rsidRPr="00E11D87">
              <w:t xml:space="preserve"> of </w:t>
            </w:r>
            <w:proofErr w:type="spellStart"/>
            <w:r w:rsidRPr="00E11D87">
              <w:t>Citation</w:t>
            </w:r>
            <w:proofErr w:type="spellEnd"/>
            <w:r w:rsidRPr="00E11D87">
              <w:t xml:space="preserve"> </w:t>
            </w:r>
            <w:proofErr w:type="spellStart"/>
            <w:r w:rsidRPr="00E11D87">
              <w:t>Reports</w:t>
            </w:r>
            <w:proofErr w:type="spellEnd"/>
          </w:p>
        </w:tc>
        <w:tc>
          <w:tcPr>
            <w:tcW w:w="1269" w:type="dxa"/>
            <w:shd w:val="clear" w:color="auto" w:fill="F2F2F2" w:themeFill="background1" w:themeFillShade="F2"/>
          </w:tcPr>
          <w:p w14:paraId="272DC799" w14:textId="2ECD9419" w:rsidR="00206725" w:rsidRDefault="0075023A" w:rsidP="005D1C0B">
            <w:pPr>
              <w:jc w:val="both"/>
            </w:pPr>
            <w:r>
              <w:t>1</w:t>
            </w:r>
            <w:r w:rsidR="00206725">
              <w:t>0</w:t>
            </w:r>
          </w:p>
        </w:tc>
      </w:tr>
      <w:tr w:rsidR="00206725" w14:paraId="24CFC989" w14:textId="77777777" w:rsidTr="005D1C0B">
        <w:tc>
          <w:tcPr>
            <w:tcW w:w="7225" w:type="dxa"/>
            <w:shd w:val="clear" w:color="auto" w:fill="FFFFFF" w:themeFill="background1"/>
          </w:tcPr>
          <w:p w14:paraId="4E9C69BE" w14:textId="2E26A39F" w:rsidR="00206725" w:rsidRDefault="00E11D87" w:rsidP="005D1C0B">
            <w:pPr>
              <w:jc w:val="both"/>
            </w:pPr>
            <w:r w:rsidRPr="00E11D87">
              <w:t xml:space="preserve">Revista en </w:t>
            </w:r>
            <w:r>
              <w:t>s</w:t>
            </w:r>
            <w:r w:rsidR="00206725">
              <w:t>egundo cuartil</w:t>
            </w:r>
            <w:r>
              <w:t xml:space="preserve"> incluida</w:t>
            </w:r>
            <w:r w:rsidRPr="00E11D87">
              <w:t xml:space="preserve"> en el </w:t>
            </w:r>
            <w:proofErr w:type="spellStart"/>
            <w:r w:rsidRPr="00E11D87">
              <w:t>Journal</w:t>
            </w:r>
            <w:proofErr w:type="spellEnd"/>
            <w:r w:rsidRPr="00E11D87">
              <w:t xml:space="preserve"> of </w:t>
            </w:r>
            <w:proofErr w:type="spellStart"/>
            <w:r w:rsidRPr="00E11D87">
              <w:t>Citation</w:t>
            </w:r>
            <w:proofErr w:type="spellEnd"/>
            <w:r w:rsidRPr="00E11D87">
              <w:t xml:space="preserve"> </w:t>
            </w:r>
            <w:proofErr w:type="spellStart"/>
            <w:r w:rsidRPr="00E11D87">
              <w:t>Reports</w:t>
            </w:r>
            <w:proofErr w:type="spellEnd"/>
          </w:p>
        </w:tc>
        <w:tc>
          <w:tcPr>
            <w:tcW w:w="1269" w:type="dxa"/>
            <w:shd w:val="clear" w:color="auto" w:fill="FFFFFF" w:themeFill="background1"/>
          </w:tcPr>
          <w:p w14:paraId="619178AF" w14:textId="1947F040" w:rsidR="00206725" w:rsidRDefault="0075023A" w:rsidP="0075023A">
            <w:pPr>
              <w:jc w:val="both"/>
            </w:pPr>
            <w:r>
              <w:t xml:space="preserve">  9</w:t>
            </w:r>
          </w:p>
        </w:tc>
      </w:tr>
      <w:tr w:rsidR="00206725" w14:paraId="3A5A562F" w14:textId="77777777" w:rsidTr="005D1C0B">
        <w:tc>
          <w:tcPr>
            <w:tcW w:w="7225" w:type="dxa"/>
            <w:shd w:val="clear" w:color="auto" w:fill="F2F2F2" w:themeFill="background1" w:themeFillShade="F2"/>
          </w:tcPr>
          <w:p w14:paraId="52735F31" w14:textId="48A97B6D" w:rsidR="00206725" w:rsidRDefault="00E11D87" w:rsidP="005D1C0B">
            <w:pPr>
              <w:jc w:val="both"/>
            </w:pPr>
            <w:r w:rsidRPr="00E11D87">
              <w:t xml:space="preserve">Revista en </w:t>
            </w:r>
            <w:r>
              <w:t>t</w:t>
            </w:r>
            <w:r w:rsidR="00206725">
              <w:t>ercer cuartil</w:t>
            </w:r>
            <w:r>
              <w:t xml:space="preserve"> incluida</w:t>
            </w:r>
            <w:r w:rsidRPr="00E11D87">
              <w:t xml:space="preserve"> en el </w:t>
            </w:r>
            <w:proofErr w:type="spellStart"/>
            <w:r w:rsidRPr="00E11D87">
              <w:t>Journal</w:t>
            </w:r>
            <w:proofErr w:type="spellEnd"/>
            <w:r w:rsidRPr="00E11D87">
              <w:t xml:space="preserve"> of </w:t>
            </w:r>
            <w:proofErr w:type="spellStart"/>
            <w:r w:rsidRPr="00E11D87">
              <w:t>Citation</w:t>
            </w:r>
            <w:proofErr w:type="spellEnd"/>
            <w:r w:rsidRPr="00E11D87">
              <w:t xml:space="preserve"> </w:t>
            </w:r>
            <w:proofErr w:type="spellStart"/>
            <w:r w:rsidRPr="00E11D87">
              <w:t>Reports</w:t>
            </w:r>
            <w:proofErr w:type="spellEnd"/>
          </w:p>
        </w:tc>
        <w:tc>
          <w:tcPr>
            <w:tcW w:w="1269" w:type="dxa"/>
            <w:shd w:val="clear" w:color="auto" w:fill="F2F2F2" w:themeFill="background1" w:themeFillShade="F2"/>
          </w:tcPr>
          <w:p w14:paraId="2F17AD26" w14:textId="7F0DA62B" w:rsidR="00206725" w:rsidRDefault="0075023A" w:rsidP="0075023A">
            <w:pPr>
              <w:jc w:val="both"/>
            </w:pPr>
            <w:r>
              <w:t xml:space="preserve">  8</w:t>
            </w:r>
          </w:p>
        </w:tc>
      </w:tr>
      <w:tr w:rsidR="00206725" w14:paraId="4C08A3B0" w14:textId="77777777" w:rsidTr="005D1C0B">
        <w:tc>
          <w:tcPr>
            <w:tcW w:w="7225" w:type="dxa"/>
            <w:shd w:val="clear" w:color="auto" w:fill="FFFFFF" w:themeFill="background1"/>
          </w:tcPr>
          <w:p w14:paraId="36A91893" w14:textId="020C1F43" w:rsidR="00206725" w:rsidRDefault="00E11D87" w:rsidP="005D1C0B">
            <w:pPr>
              <w:jc w:val="both"/>
            </w:pPr>
            <w:r w:rsidRPr="00E11D87">
              <w:t xml:space="preserve">Revista en </w:t>
            </w:r>
            <w:r>
              <w:t>c</w:t>
            </w:r>
            <w:r w:rsidR="00206725">
              <w:t>uarto cuartil</w:t>
            </w:r>
            <w:r>
              <w:t xml:space="preserve"> incluida</w:t>
            </w:r>
            <w:r w:rsidRPr="00E11D87">
              <w:t xml:space="preserve"> en el </w:t>
            </w:r>
            <w:proofErr w:type="spellStart"/>
            <w:r w:rsidRPr="00E11D87">
              <w:t>Journal</w:t>
            </w:r>
            <w:proofErr w:type="spellEnd"/>
            <w:r w:rsidRPr="00E11D87">
              <w:t xml:space="preserve"> of </w:t>
            </w:r>
            <w:proofErr w:type="spellStart"/>
            <w:r w:rsidRPr="00E11D87">
              <w:t>Citation</w:t>
            </w:r>
            <w:proofErr w:type="spellEnd"/>
            <w:r w:rsidRPr="00E11D87">
              <w:t xml:space="preserve"> </w:t>
            </w:r>
            <w:proofErr w:type="spellStart"/>
            <w:r w:rsidRPr="00E11D87">
              <w:t>Reports</w:t>
            </w:r>
            <w:proofErr w:type="spellEnd"/>
          </w:p>
        </w:tc>
        <w:tc>
          <w:tcPr>
            <w:tcW w:w="1269" w:type="dxa"/>
            <w:shd w:val="clear" w:color="auto" w:fill="FFFFFF" w:themeFill="background1"/>
          </w:tcPr>
          <w:p w14:paraId="10208E88" w14:textId="2EC6348A" w:rsidR="00206725" w:rsidRDefault="0075023A" w:rsidP="005D1C0B">
            <w:pPr>
              <w:jc w:val="both"/>
            </w:pPr>
            <w:r>
              <w:t xml:space="preserve">  7</w:t>
            </w:r>
          </w:p>
        </w:tc>
      </w:tr>
      <w:tr w:rsidR="00206725" w14:paraId="07DCAFD1" w14:textId="77777777" w:rsidTr="005D1C0B">
        <w:tc>
          <w:tcPr>
            <w:tcW w:w="7225" w:type="dxa"/>
          </w:tcPr>
          <w:p w14:paraId="311812DC" w14:textId="1EFA72D5" w:rsidR="00206725" w:rsidRDefault="00E11D87" w:rsidP="005D1C0B">
            <w:pPr>
              <w:jc w:val="both"/>
            </w:pPr>
            <w:r>
              <w:t xml:space="preserve">Revista no incluida en </w:t>
            </w:r>
            <w:proofErr w:type="spellStart"/>
            <w:r>
              <w:t>Journal</w:t>
            </w:r>
            <w:proofErr w:type="spellEnd"/>
            <w:r>
              <w:t xml:space="preserve"> </w:t>
            </w:r>
            <w:proofErr w:type="spellStart"/>
            <w:r>
              <w:t>Citation</w:t>
            </w:r>
            <w:proofErr w:type="spellEnd"/>
            <w:r>
              <w:t xml:space="preserve"> </w:t>
            </w:r>
            <w:proofErr w:type="spellStart"/>
            <w:r>
              <w:t>Report</w:t>
            </w:r>
            <w:proofErr w:type="spellEnd"/>
            <w:r>
              <w:t xml:space="preserve"> con </w:t>
            </w:r>
            <w:proofErr w:type="spellStart"/>
            <w:r w:rsidR="00206725">
              <w:t>Scimago</w:t>
            </w:r>
            <w:proofErr w:type="spellEnd"/>
            <w:r w:rsidR="00206725">
              <w:t xml:space="preserve"> superior a 5</w:t>
            </w:r>
          </w:p>
        </w:tc>
        <w:tc>
          <w:tcPr>
            <w:tcW w:w="1269" w:type="dxa"/>
          </w:tcPr>
          <w:p w14:paraId="03986162" w14:textId="7D1C7BCB" w:rsidR="00206725" w:rsidRDefault="0075023A" w:rsidP="0075023A">
            <w:pPr>
              <w:jc w:val="both"/>
            </w:pPr>
            <w:r>
              <w:t xml:space="preserve">  6</w:t>
            </w:r>
          </w:p>
        </w:tc>
      </w:tr>
      <w:tr w:rsidR="00206725" w14:paraId="6FA1C692" w14:textId="77777777" w:rsidTr="005D1C0B">
        <w:tc>
          <w:tcPr>
            <w:tcW w:w="7225" w:type="dxa"/>
            <w:shd w:val="clear" w:color="auto" w:fill="F2F2F2" w:themeFill="background1" w:themeFillShade="F2"/>
          </w:tcPr>
          <w:p w14:paraId="385195C8" w14:textId="1129082F" w:rsidR="00206725" w:rsidRDefault="00E11D87" w:rsidP="005D1C0B">
            <w:pPr>
              <w:jc w:val="both"/>
            </w:pPr>
            <w:r>
              <w:t xml:space="preserve">Revista no incluida en </w:t>
            </w:r>
            <w:proofErr w:type="spellStart"/>
            <w:r>
              <w:t>Journal</w:t>
            </w:r>
            <w:proofErr w:type="spellEnd"/>
            <w:r>
              <w:t xml:space="preserve"> </w:t>
            </w:r>
            <w:proofErr w:type="spellStart"/>
            <w:r>
              <w:t>Citation</w:t>
            </w:r>
            <w:proofErr w:type="spellEnd"/>
            <w:r>
              <w:t xml:space="preserve"> </w:t>
            </w:r>
            <w:proofErr w:type="spellStart"/>
            <w:r>
              <w:t>Report</w:t>
            </w:r>
            <w:proofErr w:type="spellEnd"/>
            <w:r>
              <w:t xml:space="preserve"> con </w:t>
            </w:r>
            <w:proofErr w:type="spellStart"/>
            <w:r w:rsidR="00206725">
              <w:t>Scimago</w:t>
            </w:r>
            <w:proofErr w:type="spellEnd"/>
            <w:r w:rsidR="00206725">
              <w:t xml:space="preserve"> inferior a 5</w:t>
            </w:r>
          </w:p>
        </w:tc>
        <w:tc>
          <w:tcPr>
            <w:tcW w:w="1269" w:type="dxa"/>
            <w:shd w:val="clear" w:color="auto" w:fill="F2F2F2" w:themeFill="background1" w:themeFillShade="F2"/>
          </w:tcPr>
          <w:p w14:paraId="2CEBDD9E" w14:textId="0A6A6356" w:rsidR="00206725" w:rsidRDefault="00206725" w:rsidP="005D1C0B">
            <w:pPr>
              <w:jc w:val="both"/>
            </w:pPr>
            <w:r>
              <w:t xml:space="preserve">  5</w:t>
            </w:r>
          </w:p>
        </w:tc>
      </w:tr>
      <w:tr w:rsidR="00E11D87" w14:paraId="2F4F25D3" w14:textId="77777777" w:rsidTr="005D1C0B">
        <w:tc>
          <w:tcPr>
            <w:tcW w:w="7225" w:type="dxa"/>
            <w:shd w:val="clear" w:color="auto" w:fill="F2F2F2" w:themeFill="background1" w:themeFillShade="F2"/>
          </w:tcPr>
          <w:p w14:paraId="04F6518E" w14:textId="4E8B6ECA" w:rsidR="00E11D87" w:rsidRDefault="00E11D87" w:rsidP="00E11D87">
            <w:pPr>
              <w:jc w:val="both"/>
            </w:pPr>
            <w:r>
              <w:t>Trabajo presentado como comunicación oral en congreso internacional</w:t>
            </w:r>
          </w:p>
        </w:tc>
        <w:tc>
          <w:tcPr>
            <w:tcW w:w="1269" w:type="dxa"/>
            <w:shd w:val="clear" w:color="auto" w:fill="F2F2F2" w:themeFill="background1" w:themeFillShade="F2"/>
          </w:tcPr>
          <w:p w14:paraId="78A36463" w14:textId="040DF4E0" w:rsidR="00E11D87" w:rsidRDefault="00E11D87" w:rsidP="005D1C0B">
            <w:pPr>
              <w:jc w:val="both"/>
            </w:pPr>
            <w:r>
              <w:t xml:space="preserve">  4</w:t>
            </w:r>
          </w:p>
        </w:tc>
      </w:tr>
      <w:tr w:rsidR="00E11D87" w14:paraId="2FDCF430" w14:textId="77777777" w:rsidTr="005D1C0B">
        <w:tc>
          <w:tcPr>
            <w:tcW w:w="7225" w:type="dxa"/>
            <w:shd w:val="clear" w:color="auto" w:fill="F2F2F2" w:themeFill="background1" w:themeFillShade="F2"/>
          </w:tcPr>
          <w:p w14:paraId="33D5F76B" w14:textId="26349824" w:rsidR="00E11D87" w:rsidRDefault="00E11D87" w:rsidP="00E11D87">
            <w:pPr>
              <w:jc w:val="both"/>
            </w:pPr>
            <w:r>
              <w:t>Trabajo presentado como comunicación poster en congreso internacional</w:t>
            </w:r>
          </w:p>
        </w:tc>
        <w:tc>
          <w:tcPr>
            <w:tcW w:w="1269" w:type="dxa"/>
            <w:shd w:val="clear" w:color="auto" w:fill="F2F2F2" w:themeFill="background1" w:themeFillShade="F2"/>
          </w:tcPr>
          <w:p w14:paraId="32819279" w14:textId="337E5313" w:rsidR="00E11D87" w:rsidRDefault="00E11D87" w:rsidP="005D1C0B">
            <w:pPr>
              <w:jc w:val="both"/>
            </w:pPr>
            <w:r>
              <w:t xml:space="preserve">  3</w:t>
            </w:r>
          </w:p>
        </w:tc>
      </w:tr>
      <w:tr w:rsidR="00E11D87" w14:paraId="2D544BF8" w14:textId="77777777" w:rsidTr="005D1C0B">
        <w:tc>
          <w:tcPr>
            <w:tcW w:w="7225" w:type="dxa"/>
            <w:shd w:val="clear" w:color="auto" w:fill="F2F2F2" w:themeFill="background1" w:themeFillShade="F2"/>
          </w:tcPr>
          <w:p w14:paraId="0CA5A666" w14:textId="4E7982A4" w:rsidR="00E11D87" w:rsidRDefault="00E11D87" w:rsidP="00E11D87">
            <w:pPr>
              <w:jc w:val="both"/>
            </w:pPr>
            <w:r>
              <w:t>Trabajo presentado como comunicación oral en congreso nacional</w:t>
            </w:r>
          </w:p>
        </w:tc>
        <w:tc>
          <w:tcPr>
            <w:tcW w:w="1269" w:type="dxa"/>
            <w:shd w:val="clear" w:color="auto" w:fill="F2F2F2" w:themeFill="background1" w:themeFillShade="F2"/>
          </w:tcPr>
          <w:p w14:paraId="49ED3D45" w14:textId="1045D5C6" w:rsidR="00E11D87" w:rsidRDefault="00E11D87" w:rsidP="005D1C0B">
            <w:pPr>
              <w:jc w:val="both"/>
            </w:pPr>
            <w:r>
              <w:t xml:space="preserve">  2</w:t>
            </w:r>
          </w:p>
        </w:tc>
      </w:tr>
      <w:tr w:rsidR="00E11D87" w14:paraId="004D419D" w14:textId="77777777" w:rsidTr="005D1C0B">
        <w:tc>
          <w:tcPr>
            <w:tcW w:w="7225" w:type="dxa"/>
            <w:shd w:val="clear" w:color="auto" w:fill="F2F2F2" w:themeFill="background1" w:themeFillShade="F2"/>
          </w:tcPr>
          <w:p w14:paraId="1017E493" w14:textId="0D2A86B4" w:rsidR="00E11D87" w:rsidRDefault="00E11D87" w:rsidP="00E11D87">
            <w:pPr>
              <w:jc w:val="both"/>
            </w:pPr>
            <w:r>
              <w:t>Trabajo presentado como comunicación poster en congreso nacional</w:t>
            </w:r>
          </w:p>
        </w:tc>
        <w:tc>
          <w:tcPr>
            <w:tcW w:w="1269" w:type="dxa"/>
            <w:shd w:val="clear" w:color="auto" w:fill="F2F2F2" w:themeFill="background1" w:themeFillShade="F2"/>
          </w:tcPr>
          <w:p w14:paraId="7FA88D9A" w14:textId="6226C68C" w:rsidR="00E11D87" w:rsidRDefault="00E11D87" w:rsidP="005D1C0B">
            <w:pPr>
              <w:jc w:val="both"/>
            </w:pPr>
            <w:r>
              <w:t xml:space="preserve">  1</w:t>
            </w:r>
          </w:p>
        </w:tc>
      </w:tr>
    </w:tbl>
    <w:p w14:paraId="2C4BB684" w14:textId="77777777" w:rsidR="00206725" w:rsidRDefault="00206725" w:rsidP="00206725">
      <w:pPr>
        <w:jc w:val="both"/>
      </w:pPr>
    </w:p>
    <w:p w14:paraId="50AE93F6" w14:textId="77777777" w:rsidR="00A23DB9" w:rsidRPr="00835194" w:rsidRDefault="00A23DB9" w:rsidP="00A35272">
      <w:pPr>
        <w:pStyle w:val="Prrafodelista"/>
        <w:ind w:hanging="720"/>
        <w:jc w:val="both"/>
        <w:rPr>
          <w:b/>
          <w:color w:val="538135" w:themeColor="accent6" w:themeShade="BF"/>
          <w:sz w:val="28"/>
          <w:szCs w:val="24"/>
          <w14:textOutline w14:w="9525" w14:cap="flat" w14:cmpd="sng" w14:algn="ctr">
            <w14:solidFill>
              <w14:srgbClr w14:val="6699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35194">
        <w:rPr>
          <w:b/>
          <w:color w:val="538135" w:themeColor="accent6" w:themeShade="BF"/>
          <w:sz w:val="28"/>
          <w:szCs w:val="24"/>
          <w14:textOutline w14:w="9525" w14:cap="flat" w14:cmpd="sng" w14:algn="ctr">
            <w14:solidFill>
              <w14:srgbClr w14:val="6699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ADJUDICACIÓN</w:t>
      </w:r>
    </w:p>
    <w:p w14:paraId="0009177E" w14:textId="77777777" w:rsidR="00A35272" w:rsidRDefault="00A35272" w:rsidP="00A35272">
      <w:pPr>
        <w:pStyle w:val="Prrafodelista"/>
        <w:ind w:hanging="720"/>
        <w:jc w:val="both"/>
        <w:rPr>
          <w:b/>
          <w:color w:val="A5A5A5" w:themeColor="accent3"/>
          <w:sz w:val="28"/>
          <w:szCs w:val="24"/>
          <w14:textOutline w14:w="9525" w14:cap="flat" w14:cmpd="sng" w14:algn="ctr">
            <w14:solidFill>
              <w14:srgbClr w14:val="FFC0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7AE817C6" w14:textId="387CD70A" w:rsidR="00A23DB9" w:rsidRPr="00064236" w:rsidRDefault="00A23DB9" w:rsidP="000A48DA">
      <w:pPr>
        <w:pStyle w:val="Prrafodelista"/>
        <w:numPr>
          <w:ilvl w:val="0"/>
          <w:numId w:val="6"/>
        </w:numPr>
        <w:ind w:left="284" w:firstLine="0"/>
        <w:jc w:val="both"/>
      </w:pPr>
      <w:r w:rsidRPr="00064236">
        <w:t>P</w:t>
      </w:r>
      <w:r w:rsidR="003F2E0E" w:rsidRPr="00064236">
        <w:t xml:space="preserve">ara la valoración de las solicitudes se constituirá una comisión formada por </w:t>
      </w:r>
      <w:r w:rsidR="000A48DA">
        <w:t xml:space="preserve">2 miembros del Comité Ejecutivo y 3 del Comité Científico del proyecto las FLS </w:t>
      </w:r>
      <w:proofErr w:type="spellStart"/>
      <w:r w:rsidR="000A48DA">
        <w:t>Excellence</w:t>
      </w:r>
      <w:proofErr w:type="spellEnd"/>
      <w:r w:rsidR="000A48DA">
        <w:t>.</w:t>
      </w:r>
      <w:r w:rsidR="003F2E0E" w:rsidRPr="00064236">
        <w:t xml:space="preserve"> La Comisión se regirá por los principios de igualdad de oportunidades, rectitud y transparencia. </w:t>
      </w:r>
    </w:p>
    <w:p w14:paraId="2F69A004" w14:textId="6D9AD550" w:rsidR="003F2E0E" w:rsidRPr="00064236" w:rsidRDefault="003F2E0E" w:rsidP="000A48DA">
      <w:pPr>
        <w:pStyle w:val="Prrafodelista"/>
        <w:numPr>
          <w:ilvl w:val="0"/>
          <w:numId w:val="6"/>
        </w:numPr>
        <w:ind w:left="284" w:firstLine="0"/>
        <w:jc w:val="both"/>
      </w:pPr>
      <w:r w:rsidRPr="00064236">
        <w:t xml:space="preserve">En caso de empate, tendrá prioridad el socio que no se haya beneficiado de este premio en otra convocatoria o el que se haya beneficiado en una convocatoria más antigua. </w:t>
      </w:r>
    </w:p>
    <w:p w14:paraId="6EEDCDEF" w14:textId="77777777" w:rsidR="00D66974" w:rsidRDefault="003F2E0E" w:rsidP="000A48DA">
      <w:pPr>
        <w:pStyle w:val="Prrafodelista"/>
        <w:numPr>
          <w:ilvl w:val="0"/>
          <w:numId w:val="6"/>
        </w:numPr>
        <w:ind w:left="284" w:firstLine="0"/>
        <w:jc w:val="both"/>
      </w:pPr>
      <w:r w:rsidRPr="00064236">
        <w:t>Cualquier impo</w:t>
      </w:r>
      <w:r w:rsidR="00064236" w:rsidRPr="00064236">
        <w:t>n</w:t>
      </w:r>
      <w:r w:rsidRPr="00064236">
        <w:t>derable no recogido en las bases del premio será resuelto por la comisión según acuerde en el</w:t>
      </w:r>
      <w:r w:rsidR="00064236" w:rsidRPr="00064236">
        <w:t xml:space="preserve"> </w:t>
      </w:r>
      <w:r w:rsidRPr="00064236">
        <w:t>momento de la</w:t>
      </w:r>
      <w:r w:rsidR="00064236" w:rsidRPr="00064236">
        <w:t xml:space="preserve"> eval</w:t>
      </w:r>
      <w:r w:rsidRPr="00064236">
        <w:t>uación de las solicitu</w:t>
      </w:r>
      <w:r w:rsidR="00064236" w:rsidRPr="00064236">
        <w:t>des. Se entiende que esto</w:t>
      </w:r>
      <w:r w:rsidRPr="00064236">
        <w:t>s acuerdo</w:t>
      </w:r>
      <w:r w:rsidR="00064236" w:rsidRPr="00064236">
        <w:t>s deben mantener el espíritu expuesto en las bases.</w:t>
      </w:r>
      <w:r w:rsidR="00D66974" w:rsidRPr="00D66974">
        <w:t xml:space="preserve"> </w:t>
      </w:r>
    </w:p>
    <w:p w14:paraId="6D9BA568" w14:textId="6BFB7D26" w:rsidR="00064236" w:rsidRDefault="00D66974" w:rsidP="00CD72A8">
      <w:pPr>
        <w:pStyle w:val="Prrafodelista"/>
        <w:numPr>
          <w:ilvl w:val="0"/>
          <w:numId w:val="6"/>
        </w:numPr>
        <w:ind w:left="284" w:firstLine="0"/>
        <w:jc w:val="both"/>
      </w:pPr>
      <w:r>
        <w:t xml:space="preserve">El fallo será inapelable. La resolución </w:t>
      </w:r>
      <w:r w:rsidRPr="00064236">
        <w:t xml:space="preserve">será comunicada al solicitante </w:t>
      </w:r>
      <w:r w:rsidR="001F6E51">
        <w:t>durante la celebración del</w:t>
      </w:r>
      <w:r w:rsidR="00CD72A8" w:rsidRPr="00CD72A8">
        <w:t xml:space="preserve"> I Simposio Virtual de SEIOMM</w:t>
      </w:r>
      <w:bookmarkStart w:id="0" w:name="_GoBack"/>
      <w:bookmarkEnd w:id="0"/>
      <w:r w:rsidRPr="00064236">
        <w:t>.</w:t>
      </w:r>
    </w:p>
    <w:p w14:paraId="61AFA0F6" w14:textId="63A43194" w:rsidR="00A23DB9" w:rsidRPr="00064236" w:rsidRDefault="00064236" w:rsidP="000A48DA">
      <w:pPr>
        <w:pStyle w:val="Prrafodelista"/>
        <w:numPr>
          <w:ilvl w:val="0"/>
          <w:numId w:val="6"/>
        </w:numPr>
        <w:ind w:left="284" w:firstLine="0"/>
        <w:jc w:val="both"/>
      </w:pPr>
      <w:r w:rsidRPr="00064236">
        <w:t>Podrá presentarse un recurso ante la misma comisión en la semana siguiente a la publicación del fallo. Dicho recurso será resuelto por la Comisión en el plazo de una semana, incorporándose a la misma el Defensor del Asociado.</w:t>
      </w:r>
    </w:p>
    <w:p w14:paraId="1B2393C1" w14:textId="77777777" w:rsidR="00A35272" w:rsidRPr="00064236" w:rsidRDefault="00A35272" w:rsidP="00A35272">
      <w:pPr>
        <w:pStyle w:val="Prrafodelista"/>
        <w:numPr>
          <w:ilvl w:val="0"/>
          <w:numId w:val="6"/>
        </w:numPr>
        <w:ind w:left="284" w:firstLine="0"/>
        <w:jc w:val="both"/>
      </w:pPr>
      <w:r w:rsidRPr="00064236">
        <w:t>En caso de que el premio quedase desierto esta cantidad se</w:t>
      </w:r>
      <w:r>
        <w:t>ría devuelta a la entidad colaboradora.</w:t>
      </w:r>
    </w:p>
    <w:p w14:paraId="31F77AEE" w14:textId="77777777" w:rsidR="003F2E0E" w:rsidRPr="003F2E0E" w:rsidRDefault="003F2E0E" w:rsidP="003F2E0E">
      <w:pPr>
        <w:pStyle w:val="Prrafodelista"/>
        <w:jc w:val="both"/>
        <w:rPr>
          <w:color w:val="000000" w:themeColor="text1"/>
        </w:rPr>
      </w:pPr>
    </w:p>
    <w:p w14:paraId="7E33D925" w14:textId="1E630805" w:rsidR="003F2E0E" w:rsidRPr="003F2E0E" w:rsidRDefault="00064236" w:rsidP="00064236">
      <w:pPr>
        <w:pStyle w:val="Prrafodelista"/>
        <w:ind w:left="4260" w:firstLine="696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A37DAC">
        <w:rPr>
          <w:color w:val="000000" w:themeColor="text1"/>
        </w:rPr>
        <w:t>E</w:t>
      </w:r>
      <w:r w:rsidR="008F0D9B">
        <w:rPr>
          <w:color w:val="000000" w:themeColor="text1"/>
        </w:rPr>
        <w:t>n Madrid, a 2</w:t>
      </w:r>
      <w:r w:rsidR="00CD72A8">
        <w:rPr>
          <w:color w:val="000000" w:themeColor="text1"/>
        </w:rPr>
        <w:t>8</w:t>
      </w:r>
      <w:r w:rsidR="00577620">
        <w:rPr>
          <w:color w:val="000000" w:themeColor="text1"/>
        </w:rPr>
        <w:t xml:space="preserve"> de </w:t>
      </w:r>
      <w:r w:rsidR="00CD72A8">
        <w:rPr>
          <w:color w:val="000000" w:themeColor="text1"/>
        </w:rPr>
        <w:t>mayo</w:t>
      </w:r>
      <w:r w:rsidR="003F2E0E" w:rsidRPr="003F2E0E">
        <w:rPr>
          <w:color w:val="000000" w:themeColor="text1"/>
        </w:rPr>
        <w:t xml:space="preserve"> de 2020</w:t>
      </w:r>
    </w:p>
    <w:p w14:paraId="0DF10122" w14:textId="0A7F2D79" w:rsidR="00B8656A" w:rsidRDefault="008F0D9B" w:rsidP="00174061">
      <w:pPr>
        <w:jc w:val="right"/>
      </w:pPr>
      <w:r w:rsidRPr="008F0D9B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56F5EF3" wp14:editId="0CA08091">
            <wp:simplePos x="0" y="0"/>
            <wp:positionH relativeFrom="column">
              <wp:posOffset>3806190</wp:posOffset>
            </wp:positionH>
            <wp:positionV relativeFrom="paragraph">
              <wp:posOffset>83820</wp:posOffset>
            </wp:positionV>
            <wp:extent cx="1114425" cy="466090"/>
            <wp:effectExtent l="0" t="0" r="9525" b="0"/>
            <wp:wrapSquare wrapText="bothSides"/>
            <wp:docPr id="2" name="Imagen 2" descr="C:\Users\Manuel\Documents\SEIOMM\Presidencia 2019-2022\Secretaria\Junta Directiva\Firmas JD\Manu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uel\Documents\SEIOMM\Presidencia 2019-2022\Secretaria\Junta Directiva\Firmas JD\Manue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0D9B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19ED631" wp14:editId="4C0022E5">
            <wp:simplePos x="0" y="0"/>
            <wp:positionH relativeFrom="column">
              <wp:posOffset>1158240</wp:posOffset>
            </wp:positionH>
            <wp:positionV relativeFrom="paragraph">
              <wp:posOffset>7620</wp:posOffset>
            </wp:positionV>
            <wp:extent cx="1141095" cy="514350"/>
            <wp:effectExtent l="0" t="0" r="1905" b="0"/>
            <wp:wrapSquare wrapText="bothSides"/>
            <wp:docPr id="1" name="Imagen 1" descr="C:\Users\Manuel\Documents\SEIOMM\Presidencia 2019-2022\Secretaria\Junta Directiva\Firmas JD\Firma Mine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uel\Documents\SEIOMM\Presidencia 2019-2022\Secretaria\Junta Directiva\Firmas JD\Firma Minerv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0D9B">
        <w:t xml:space="preserve"> </w:t>
      </w:r>
    </w:p>
    <w:p w14:paraId="785F1B06" w14:textId="525608C9" w:rsidR="00A37DAC" w:rsidRPr="00B8656A" w:rsidRDefault="00A37DAC" w:rsidP="00174061">
      <w:pPr>
        <w:jc w:val="right"/>
      </w:pPr>
    </w:p>
    <w:p w14:paraId="71C52E12" w14:textId="753DF05D" w:rsidR="000C368F" w:rsidRPr="00B8656A" w:rsidRDefault="00B8656A" w:rsidP="008F0D9B">
      <w:pPr>
        <w:spacing w:after="0"/>
        <w:ind w:left="707" w:firstLine="709"/>
        <w:jc w:val="both"/>
      </w:pPr>
      <w:r w:rsidRPr="00B8656A">
        <w:t>Minerva Rodríguez García</w:t>
      </w:r>
      <w:r w:rsidRPr="00B8656A">
        <w:tab/>
      </w:r>
      <w:r w:rsidRPr="00B8656A">
        <w:tab/>
      </w:r>
      <w:r w:rsidRPr="00B8656A">
        <w:tab/>
        <w:t>Vº</w:t>
      </w:r>
      <w:r w:rsidR="00F0789A">
        <w:t xml:space="preserve"> </w:t>
      </w:r>
      <w:r w:rsidRPr="00B8656A">
        <w:t>Bº Manuel Naves Díaz</w:t>
      </w:r>
    </w:p>
    <w:p w14:paraId="348555A3" w14:textId="77777777" w:rsidR="00B8656A" w:rsidRPr="00B8656A" w:rsidRDefault="00B8656A" w:rsidP="008F0D9B">
      <w:pPr>
        <w:ind w:left="708" w:firstLine="708"/>
        <w:jc w:val="both"/>
      </w:pPr>
      <w:r w:rsidRPr="00B8656A">
        <w:t>Secretaria de la FEIOMM</w:t>
      </w:r>
      <w:r w:rsidRPr="00B8656A">
        <w:tab/>
      </w:r>
      <w:r w:rsidRPr="00B8656A">
        <w:tab/>
      </w:r>
      <w:r w:rsidRPr="00B8656A">
        <w:tab/>
        <w:t>Presidente de la FEIOMM</w:t>
      </w:r>
    </w:p>
    <w:sectPr w:rsidR="00B8656A" w:rsidRPr="00B8656A" w:rsidSect="00C572EF">
      <w:head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1C56C" w14:textId="77777777" w:rsidR="00C556C7" w:rsidRDefault="00C556C7" w:rsidP="00C572EF">
      <w:pPr>
        <w:spacing w:after="0" w:line="240" w:lineRule="auto"/>
      </w:pPr>
      <w:r>
        <w:separator/>
      </w:r>
    </w:p>
  </w:endnote>
  <w:endnote w:type="continuationSeparator" w:id="0">
    <w:p w14:paraId="056E287A" w14:textId="77777777" w:rsidR="00C556C7" w:rsidRDefault="00C556C7" w:rsidP="00C57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D1E36" w14:textId="77777777" w:rsidR="00C556C7" w:rsidRDefault="00C556C7" w:rsidP="00C572EF">
      <w:pPr>
        <w:spacing w:after="0" w:line="240" w:lineRule="auto"/>
      </w:pPr>
      <w:r>
        <w:separator/>
      </w:r>
    </w:p>
  </w:footnote>
  <w:footnote w:type="continuationSeparator" w:id="0">
    <w:p w14:paraId="003E8198" w14:textId="77777777" w:rsidR="00C556C7" w:rsidRDefault="00C556C7" w:rsidP="00C57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8FC67" w14:textId="2975E261" w:rsidR="00C572EF" w:rsidRDefault="00AD4FC7">
    <w:pPr>
      <w:pStyle w:val="Encabezado"/>
    </w:pPr>
    <w:r>
      <w:rPr>
        <w:rFonts w:cstheme="minorHAnsi"/>
        <w:b/>
        <w:noProof/>
        <w:sz w:val="28"/>
        <w:lang w:eastAsia="es-ES"/>
      </w:rPr>
      <w:drawing>
        <wp:anchor distT="0" distB="0" distL="114300" distR="114300" simplePos="0" relativeHeight="251658240" behindDoc="0" locked="0" layoutInCell="1" allowOverlap="1" wp14:anchorId="3AB12500" wp14:editId="62B56BC9">
          <wp:simplePos x="0" y="0"/>
          <wp:positionH relativeFrom="margin">
            <wp:align>center</wp:align>
          </wp:positionH>
          <wp:positionV relativeFrom="paragraph">
            <wp:posOffset>-144992</wp:posOffset>
          </wp:positionV>
          <wp:extent cx="2054225" cy="930275"/>
          <wp:effectExtent l="0" t="0" r="3175" b="317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930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6E591D"/>
    <w:multiLevelType w:val="hybridMultilevel"/>
    <w:tmpl w:val="0C92AB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45ED7"/>
    <w:multiLevelType w:val="hybridMultilevel"/>
    <w:tmpl w:val="B18E05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F3C3E"/>
    <w:multiLevelType w:val="hybridMultilevel"/>
    <w:tmpl w:val="129A0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110BE"/>
    <w:multiLevelType w:val="hybridMultilevel"/>
    <w:tmpl w:val="204A11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753F6"/>
    <w:multiLevelType w:val="hybridMultilevel"/>
    <w:tmpl w:val="4FD4F092"/>
    <w:lvl w:ilvl="0" w:tplc="37B45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A51CB"/>
    <w:multiLevelType w:val="hybridMultilevel"/>
    <w:tmpl w:val="C94E60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14100"/>
    <w:multiLevelType w:val="hybridMultilevel"/>
    <w:tmpl w:val="8BEA30EE"/>
    <w:lvl w:ilvl="0" w:tplc="B6F44EC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FA8176D"/>
    <w:multiLevelType w:val="hybridMultilevel"/>
    <w:tmpl w:val="C5EC6CF4"/>
    <w:lvl w:ilvl="0" w:tplc="37B45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C0"/>
    <w:rsid w:val="00064236"/>
    <w:rsid w:val="000957EF"/>
    <w:rsid w:val="000A48DA"/>
    <w:rsid w:val="000B7125"/>
    <w:rsid w:val="000C368F"/>
    <w:rsid w:val="001723C0"/>
    <w:rsid w:val="00174061"/>
    <w:rsid w:val="001D77A1"/>
    <w:rsid w:val="001F6E51"/>
    <w:rsid w:val="00206725"/>
    <w:rsid w:val="00252C2A"/>
    <w:rsid w:val="00265C60"/>
    <w:rsid w:val="00277568"/>
    <w:rsid w:val="00320FDB"/>
    <w:rsid w:val="00356E45"/>
    <w:rsid w:val="003D5071"/>
    <w:rsid w:val="003F2E0E"/>
    <w:rsid w:val="00485337"/>
    <w:rsid w:val="004E1203"/>
    <w:rsid w:val="0054583B"/>
    <w:rsid w:val="00577620"/>
    <w:rsid w:val="005A1870"/>
    <w:rsid w:val="005E43BC"/>
    <w:rsid w:val="00692889"/>
    <w:rsid w:val="006C64B3"/>
    <w:rsid w:val="006C7BD0"/>
    <w:rsid w:val="00722D8D"/>
    <w:rsid w:val="007430DA"/>
    <w:rsid w:val="0075023A"/>
    <w:rsid w:val="00835194"/>
    <w:rsid w:val="0084542A"/>
    <w:rsid w:val="0086770E"/>
    <w:rsid w:val="008F0D9B"/>
    <w:rsid w:val="009150B7"/>
    <w:rsid w:val="00993294"/>
    <w:rsid w:val="00A23DB9"/>
    <w:rsid w:val="00A35272"/>
    <w:rsid w:val="00A37DAC"/>
    <w:rsid w:val="00A6252F"/>
    <w:rsid w:val="00AD4FC7"/>
    <w:rsid w:val="00B03812"/>
    <w:rsid w:val="00B43670"/>
    <w:rsid w:val="00B8656A"/>
    <w:rsid w:val="00B86AAC"/>
    <w:rsid w:val="00C16ABB"/>
    <w:rsid w:val="00C556C7"/>
    <w:rsid w:val="00C572EF"/>
    <w:rsid w:val="00CD72A8"/>
    <w:rsid w:val="00CE3A62"/>
    <w:rsid w:val="00D31928"/>
    <w:rsid w:val="00D66974"/>
    <w:rsid w:val="00E11D87"/>
    <w:rsid w:val="00E858C8"/>
    <w:rsid w:val="00E85A18"/>
    <w:rsid w:val="00F02C01"/>
    <w:rsid w:val="00F0789A"/>
    <w:rsid w:val="00F578CE"/>
    <w:rsid w:val="00FA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B9C36"/>
  <w15:chartTrackingRefBased/>
  <w15:docId w15:val="{C88F5E30-A28E-443B-ADFD-DE53A443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23C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56E4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572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72EF"/>
  </w:style>
  <w:style w:type="paragraph" w:styleId="Piedepgina">
    <w:name w:val="footer"/>
    <w:basedOn w:val="Normal"/>
    <w:link w:val="PiedepginaCar"/>
    <w:uiPriority w:val="99"/>
    <w:unhideWhenUsed/>
    <w:rsid w:val="00C572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2EF"/>
  </w:style>
  <w:style w:type="table" w:styleId="Tablaconcuadrcula">
    <w:name w:val="Table Grid"/>
    <w:basedOn w:val="Tablanormal"/>
    <w:uiPriority w:val="39"/>
    <w:rsid w:val="00A23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F0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eiomm@seiomm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740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Manuel</cp:lastModifiedBy>
  <cp:revision>7</cp:revision>
  <cp:lastPrinted>2020-01-20T10:41:00Z</cp:lastPrinted>
  <dcterms:created xsi:type="dcterms:W3CDTF">2020-01-14T07:03:00Z</dcterms:created>
  <dcterms:modified xsi:type="dcterms:W3CDTF">2020-06-17T08:30:00Z</dcterms:modified>
</cp:coreProperties>
</file>